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</w:p>
    <w:p>
      <w:pPr>
        <w:overflowPunct w:val="0"/>
        <w:adjustRightInd w:val="0"/>
        <w:snapToGrid w:val="0"/>
        <w:spacing w:line="570" w:lineRule="exact"/>
        <w:jc w:val="center"/>
        <w:rPr>
          <w:rFonts w:hint="eastAsia" w:ascii="方正大标宋_GBK" w:hAnsi="Calibri" w:eastAsia="方正大标宋_GBK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大标宋_GBK" w:eastAsia="方正大标宋_GBK"/>
          <w:snapToGrid w:val="0"/>
          <w:kern w:val="0"/>
          <w:sz w:val="44"/>
          <w:szCs w:val="44"/>
        </w:rPr>
        <w:t>温州市区城镇土地使用税征收范围</w:t>
      </w:r>
    </w:p>
    <w:p>
      <w:pPr>
        <w:overflowPunct w:val="0"/>
        <w:adjustRightInd w:val="0"/>
        <w:snapToGrid w:val="0"/>
        <w:spacing w:after="156" w:afterLines="50" w:line="570" w:lineRule="exact"/>
        <w:jc w:val="center"/>
        <w:rPr>
          <w:rFonts w:hint="eastAsia" w:ascii="方正大标宋_GBK" w:eastAsia="方正大标宋_GBK"/>
          <w:snapToGrid w:val="0"/>
          <w:kern w:val="0"/>
          <w:sz w:val="44"/>
          <w:szCs w:val="44"/>
        </w:rPr>
      </w:pPr>
      <w:r>
        <w:rPr>
          <w:rFonts w:hint="eastAsia" w:ascii="方正大标宋_GBK" w:eastAsia="方正大标宋_GBK"/>
          <w:snapToGrid w:val="0"/>
          <w:kern w:val="0"/>
          <w:sz w:val="44"/>
          <w:szCs w:val="44"/>
        </w:rPr>
        <w:t>土地等级划分及年税额标准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2"/>
        <w:gridCol w:w="662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级 别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范          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年税额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一 级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Calibri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东至瓯越大桥（江滨西路以北）-江滨西路-车站大道（黎明立交桥以北）-黎明东路-府东路-学院西路-蒲州河（新世纪花园西侧）-划龙桥河（世纪广场北侧）-惠民路南段（温州大道以北），南至温州大道（惠民路以西，温瑞塘河以东）-温瑞塘河-汇昌河，西至勤奋河，北至瓯江。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元/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m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二 级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一级区域以外：</w:t>
            </w:r>
          </w:p>
          <w:p>
            <w:pPr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）东至华光路（向北延伸至瓯江）-江滨东路-汤家桥路，南至温州大道，西至惠民路南段（温州大道以北）-划龙桥河（世纪广场北侧）-蒲州河（新世纪花园西侧）-学院东路-府东路-黎明东路-车站大道（黎明立交桥以北）-江滨西路-瓯越大桥（江滨西路以北），北至瓯江。</w:t>
            </w:r>
          </w:p>
          <w:p>
            <w:pPr>
              <w:snapToGrid w:val="0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）东至温瑞塘河，南至温州大道，西至过境公路，北至汇昌河－温瑞塘河。</w:t>
            </w:r>
          </w:p>
          <w:p>
            <w:pPr>
              <w:snapToGrid w:val="0"/>
              <w:rPr>
                <w:rFonts w:hint="eastAsia" w:ascii="仿宋_GB2312" w:hAnsi="Calibri" w:eastAsia="仿宋_GB2312" w:cs="Calibri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）东至勤奋河，南至过境公路，西至翠微大道、东瓯大桥，北至瓯江。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元/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m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三 级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 w:cs="Calibri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一、二级以外的区域。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元/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m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vertAlign w:val="superscript"/>
              </w:rPr>
              <w:t>2</w:t>
            </w:r>
          </w:p>
        </w:tc>
      </w:tr>
    </w:tbl>
    <w:p>
      <w:pPr>
        <w:snapToGrid w:val="0"/>
        <w:rPr>
          <w:rFonts w:hint="eastAsia" w:ascii="仿宋_GB2312" w:hAnsi="Calibri" w:eastAsia="仿宋_GB2312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/>
          <w:snapToGrid w:val="0"/>
          <w:kern w:val="0"/>
          <w:sz w:val="28"/>
          <w:szCs w:val="28"/>
        </w:rPr>
        <w:t>注：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各级别之间以路、大道、河为主要的分界线。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E7976A-43DF-42EE-9C19-B2C0CBF473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FB2EAFD-10C1-4751-971A-7A3D1325BCB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D2DF8C0-E3F6-4B7B-9824-3C9E6109440A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F9F22AD-34D7-475F-B540-65F5EC9B88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204E758-FBCB-401F-BF49-160A65FFC0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B0735FC"/>
    <w:rsid w:val="6B0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2024-02-19T07:02:00Z</dcterms:created>
  <dc:creator>燕</dc:creator>
  <cp:lastModifiedBy>燕</cp:lastModifiedBy>
  <dcterms:modified xsi:type="dcterms:W3CDTF">2024-02-19T07:03:14Z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EB49435BDF7F4692993D1B79F4E70A5E_11</vt:lpwstr>
  </property>
</Properties>
</file>